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TOWARD MACHINE-ORIENTED FACTORIES</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sz w:val="18"/>
          <w:szCs w:val="18"/>
          <w:rtl w:val="0"/>
        </w:rPr>
        <w:t xml:space="preserve">Redefining industrial facilities for an era of automation at the core</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Manufacturers today are no longer deciding whether to automate, but how deeply to do so. The International Federation of Robotics recorded over 4.6M industrial robots in operational use globally in 2024, growing at 9% year-on-year, with annual installations forecast to reach 700,000 units by 2028 [66]. This is not simply more automation added to existing structures. The factory itself is being redesigned from the ground up, with machines at the center rather than the people operating them [66, 476].</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How machine-focused a factory is falls along a spectrum. At one end, human-robot collaboration systems place machines and workers side by side, with automation handling precision and repetition while humans manage judgment and variation [477]. At the other end sit fully autonomous facilities, known as dark or lights-out factories, where no human workers are present, and production runs continuously without lighting, heating, or work shift changes [476]. In 2024, Xiaomi opened a facility in China spanning 81,000 square meters that runs with close to zero human presence, producing 10M smartphones a year through an AI-monitored system [478]. Fully autonomous factories remain the exception, but the direction is clear. Competitive pressure, particularly from Asia, which accounted for 74% of all new robot deployments in 2024 compared to 16% in Europe, is accelerating the shift [66].</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Three structural changes define how this transition unfolds in practice. First, it requires a new kind of intelligence on the factory floor. As machines multiply and interact, isolated automation systems become a bottleneck [479]. Multi-agent architectures allow machines to coordinate dynamically, share information, and make distributed decisions without central human oversight [479]. Second, the factory's physical space must follow. Fixed production lines designed for human workflows are being replaced by modular, reconfigurable systems that can be reorganized for new products without halting operations, delivering cost savings of up to 30% compared to traditional layouts [480]. Finally, as machines become the primary actors in production, the role and location of the workforce change entirely. As physical and manual skills in manufacturing decline at more than twice the rate of the broader economy, the factory of the future will require a fundamentally different kind of workforce, one that is more technical, more distributed, and no longer defined by physical presence on the floor [481]. Together, these three spaces shape the machine-oriented factory, and each represents a distinct space for innovation, investment, and structural reform.</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ckinsey.com/featured-insights/future-of-work/skill-shift-automation-and-the-future-of-the-workforce" TargetMode="External"/><Relationship Id="rId5" Type="http://schemas.openxmlformats.org/officeDocument/2006/relationships/styles" Target="styles.xml"/><Relationship Id="rId6" Type="http://schemas.openxmlformats.org/officeDocument/2006/relationships/hyperlink" Target="https://ifr.org/ifr-press-releases/news/global-robot-demand-in-factories-doubles-over-10-years" TargetMode="External"/><Relationship Id="rId7" Type="http://schemas.openxmlformats.org/officeDocument/2006/relationships/hyperlink" Target="https://ifr.org/ifr-press-releases/news/how-robots-work-alongside-humans" TargetMode="External"/><Relationship Id="rId8" Type="http://schemas.openxmlformats.org/officeDocument/2006/relationships/hyperlink" Target="https://e.vnexpress.net/news/tech/tech-news/no-lights-no-workers-ai-powered-dark-factories-are-reshaping-china-s-manufacturing-492122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